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6E1524" w:rsidP="00745573">
      <w:pPr>
        <w:spacing w:after="0" w:line="480" w:lineRule="auto"/>
        <w:jc w:val="center"/>
        <w:rPr>
          <w:rFonts w:ascii="Times New Roman" w:hAnsi="Times New Roman"/>
          <w:sz w:val="24"/>
          <w:szCs w:val="24"/>
        </w:rPr>
      </w:pPr>
      <w:r>
        <w:rPr>
          <w:rFonts w:ascii="Times New Roman" w:hAnsi="Times New Roman"/>
          <w:sz w:val="24"/>
          <w:szCs w:val="24"/>
        </w:rPr>
        <w:t xml:space="preserve">Legal </w:t>
      </w:r>
      <w:r w:rsidR="00742F10">
        <w:rPr>
          <w:rFonts w:ascii="Times New Roman" w:hAnsi="Times New Roman"/>
          <w:sz w:val="24"/>
          <w:szCs w:val="24"/>
        </w:rPr>
        <w:t xml:space="preserve">Case </w:t>
      </w:r>
      <w:bookmarkStart w:id="0" w:name="_GoBack"/>
      <w:bookmarkEnd w:id="0"/>
      <w:r>
        <w:rPr>
          <w:rFonts w:ascii="Times New Roman" w:hAnsi="Times New Roman"/>
          <w:sz w:val="24"/>
          <w:szCs w:val="24"/>
        </w:rPr>
        <w:t>Analysis</w:t>
      </w:r>
    </w:p>
    <w:p w:rsidR="00745573" w:rsidRPr="00283E03" w:rsidRDefault="006E1524" w:rsidP="00745573">
      <w:pPr>
        <w:spacing w:after="0" w:line="480" w:lineRule="auto"/>
        <w:jc w:val="center"/>
        <w:rPr>
          <w:rFonts w:ascii="Times New Roman" w:hAnsi="Times New Roman"/>
          <w:sz w:val="24"/>
          <w:szCs w:val="24"/>
        </w:rPr>
      </w:pPr>
      <w:r>
        <w:rPr>
          <w:rFonts w:ascii="Times New Roman" w:hAnsi="Times New Roman"/>
          <w:sz w:val="24"/>
          <w:szCs w:val="24"/>
        </w:rPr>
        <w:t>Kimberly Martini</w:t>
      </w:r>
    </w:p>
    <w:p w:rsidR="00745573" w:rsidRPr="00283E03" w:rsidRDefault="006E1524" w:rsidP="00745573">
      <w:pPr>
        <w:spacing w:after="0" w:line="480" w:lineRule="auto"/>
        <w:jc w:val="center"/>
        <w:rPr>
          <w:rFonts w:ascii="Times New Roman" w:hAnsi="Times New Roman"/>
          <w:sz w:val="24"/>
          <w:szCs w:val="24"/>
        </w:rPr>
      </w:pPr>
      <w:r>
        <w:rPr>
          <w:rFonts w:ascii="Times New Roman" w:hAnsi="Times New Roman"/>
          <w:sz w:val="24"/>
          <w:szCs w:val="24"/>
        </w:rPr>
        <w:t>EDU6575</w:t>
      </w:r>
    </w:p>
    <w:p w:rsidR="0024690C" w:rsidRPr="00283E03" w:rsidRDefault="006E1524" w:rsidP="00745573">
      <w:pPr>
        <w:spacing w:after="0" w:line="480" w:lineRule="auto"/>
        <w:jc w:val="center"/>
        <w:rPr>
          <w:rFonts w:ascii="Times New Roman" w:hAnsi="Times New Roman"/>
          <w:sz w:val="24"/>
          <w:szCs w:val="24"/>
        </w:rPr>
      </w:pPr>
      <w:r>
        <w:rPr>
          <w:rFonts w:ascii="Times New Roman" w:hAnsi="Times New Roman"/>
          <w:sz w:val="24"/>
          <w:szCs w:val="24"/>
        </w:rPr>
        <w:t>Dr. Steven Klein</w:t>
      </w:r>
    </w:p>
    <w:p w:rsidR="0024690C" w:rsidRDefault="006E1524" w:rsidP="00745573">
      <w:pPr>
        <w:spacing w:after="0" w:line="480" w:lineRule="auto"/>
        <w:jc w:val="center"/>
        <w:rPr>
          <w:rFonts w:ascii="Times New Roman" w:hAnsi="Times New Roman"/>
          <w:sz w:val="24"/>
          <w:szCs w:val="24"/>
        </w:rPr>
      </w:pPr>
      <w:r>
        <w:rPr>
          <w:rFonts w:ascii="Times New Roman" w:hAnsi="Times New Roman"/>
          <w:sz w:val="24"/>
          <w:szCs w:val="24"/>
        </w:rPr>
        <w:t>June 4, 2014</w:t>
      </w:r>
    </w:p>
    <w:p w:rsidR="006E1524" w:rsidRPr="00283E03" w:rsidRDefault="006E1524" w:rsidP="006E1524">
      <w:pPr>
        <w:spacing w:after="0" w:line="480" w:lineRule="auto"/>
        <w:rPr>
          <w:rFonts w:ascii="Times New Roman" w:hAnsi="Times New Roman"/>
          <w:sz w:val="24"/>
          <w:szCs w:val="24"/>
        </w:rPr>
      </w:pPr>
    </w:p>
    <w:p w:rsidR="00CB0C1F" w:rsidRPr="007000C3" w:rsidRDefault="00EF013D" w:rsidP="006E1524">
      <w:pPr>
        <w:jc w:val="center"/>
        <w:rPr>
          <w:bCs/>
        </w:rPr>
      </w:pPr>
      <w:r>
        <w:rPr>
          <w:rFonts w:ascii="Times New Roman" w:hAnsi="Times New Roman"/>
          <w:sz w:val="24"/>
          <w:szCs w:val="24"/>
        </w:rPr>
        <w:br w:type="page"/>
      </w:r>
    </w:p>
    <w:p w:rsidR="008C03C9" w:rsidRDefault="006E1524" w:rsidP="008C03C9">
      <w:pPr>
        <w:jc w:val="center"/>
        <w:rPr>
          <w:rFonts w:ascii="Times New Roman" w:hAnsi="Times New Roman"/>
          <w:sz w:val="24"/>
          <w:szCs w:val="24"/>
        </w:rPr>
      </w:pPr>
      <w:r>
        <w:rPr>
          <w:rFonts w:ascii="Times New Roman" w:hAnsi="Times New Roman"/>
          <w:sz w:val="24"/>
          <w:szCs w:val="24"/>
        </w:rPr>
        <w:lastRenderedPageBreak/>
        <w:t>Legal Case Analysis</w:t>
      </w:r>
      <w:r w:rsidR="008C03C9">
        <w:rPr>
          <w:rFonts w:ascii="Times New Roman" w:hAnsi="Times New Roman"/>
          <w:sz w:val="24"/>
          <w:szCs w:val="24"/>
        </w:rPr>
        <w:t xml:space="preserve">:  </w:t>
      </w:r>
      <w:proofErr w:type="spellStart"/>
      <w:r w:rsidR="008C03C9">
        <w:rPr>
          <w:rFonts w:ascii="Times New Roman" w:hAnsi="Times New Roman"/>
          <w:sz w:val="24"/>
          <w:szCs w:val="24"/>
        </w:rPr>
        <w:t>Hendrick</w:t>
      </w:r>
      <w:proofErr w:type="spellEnd"/>
      <w:r w:rsidR="008C03C9">
        <w:rPr>
          <w:rFonts w:ascii="Times New Roman" w:hAnsi="Times New Roman"/>
          <w:sz w:val="24"/>
          <w:szCs w:val="24"/>
        </w:rPr>
        <w:t xml:space="preserve"> Hudson Board of Education v. Rowley, 458 U.S. 176 (1982)</w:t>
      </w:r>
    </w:p>
    <w:p w:rsidR="003F3088" w:rsidRDefault="008C03C9" w:rsidP="003F3088">
      <w:pPr>
        <w:spacing w:after="0" w:line="480" w:lineRule="auto"/>
        <w:ind w:left="720"/>
        <w:rPr>
          <w:rFonts w:ascii="Times New Roman" w:hAnsi="Times New Roman"/>
          <w:sz w:val="24"/>
          <w:szCs w:val="24"/>
          <w:shd w:val="clear" w:color="auto" w:fill="FFFFFF"/>
        </w:rPr>
      </w:pPr>
      <w:r>
        <w:rPr>
          <w:rFonts w:ascii="Times New Roman" w:hAnsi="Times New Roman"/>
          <w:sz w:val="24"/>
          <w:szCs w:val="24"/>
          <w:shd w:val="clear" w:color="auto" w:fill="FFFFFF"/>
        </w:rPr>
        <w:t>This case was the f</w:t>
      </w:r>
      <w:r w:rsidRPr="008C03C9">
        <w:rPr>
          <w:rFonts w:ascii="Times New Roman" w:hAnsi="Times New Roman"/>
          <w:sz w:val="24"/>
          <w:szCs w:val="24"/>
          <w:shd w:val="clear" w:color="auto" w:fill="FFFFFF"/>
        </w:rPr>
        <w:t xml:space="preserve">irst Supreme Court case regarding special education </w:t>
      </w:r>
      <w:r w:rsidR="003F3088">
        <w:rPr>
          <w:rFonts w:ascii="Times New Roman" w:hAnsi="Times New Roman"/>
          <w:sz w:val="24"/>
          <w:szCs w:val="24"/>
          <w:shd w:val="clear" w:color="auto" w:fill="FFFFFF"/>
        </w:rPr>
        <w:t xml:space="preserve">that </w:t>
      </w:r>
      <w:r w:rsidRPr="008C03C9">
        <w:rPr>
          <w:rFonts w:ascii="Times New Roman" w:hAnsi="Times New Roman"/>
          <w:sz w:val="24"/>
          <w:szCs w:val="24"/>
          <w:shd w:val="clear" w:color="auto" w:fill="FFFFFF"/>
        </w:rPr>
        <w:t>set t</w:t>
      </w:r>
      <w:r>
        <w:rPr>
          <w:rFonts w:ascii="Times New Roman" w:hAnsi="Times New Roman"/>
          <w:sz w:val="24"/>
          <w:szCs w:val="24"/>
          <w:shd w:val="clear" w:color="auto" w:fill="FFFFFF"/>
        </w:rPr>
        <w:t xml:space="preserve">he </w:t>
      </w:r>
    </w:p>
    <w:p w:rsidR="003F3088" w:rsidRPr="003F3088" w:rsidRDefault="008C03C9" w:rsidP="003F3088">
      <w:pPr>
        <w:spacing w:line="480" w:lineRule="auto"/>
        <w:rPr>
          <w:rFonts w:ascii="Times New Roman" w:eastAsia="Times New Roman" w:hAnsi="Times New Roman"/>
        </w:rPr>
      </w:pPr>
      <w:proofErr w:type="gramStart"/>
      <w:r>
        <w:rPr>
          <w:rFonts w:ascii="Times New Roman" w:hAnsi="Times New Roman"/>
          <w:sz w:val="24"/>
          <w:szCs w:val="24"/>
          <w:shd w:val="clear" w:color="auto" w:fill="FFFFFF"/>
        </w:rPr>
        <w:t>standard</w:t>
      </w:r>
      <w:proofErr w:type="gramEnd"/>
      <w:r>
        <w:rPr>
          <w:rFonts w:ascii="Times New Roman" w:hAnsi="Times New Roman"/>
          <w:sz w:val="24"/>
          <w:szCs w:val="24"/>
          <w:shd w:val="clear" w:color="auto" w:fill="FFFFFF"/>
        </w:rPr>
        <w:t xml:space="preserve"> for what is a “Free Appropriate Public Education</w:t>
      </w:r>
      <w:r w:rsidRPr="003F3088">
        <w:rPr>
          <w:rFonts w:ascii="Times New Roman" w:hAnsi="Times New Roman"/>
          <w:sz w:val="24"/>
          <w:szCs w:val="24"/>
          <w:shd w:val="clear" w:color="auto" w:fill="FFFFFF"/>
        </w:rPr>
        <w:t>.”</w:t>
      </w:r>
      <w:r w:rsidRPr="003F3088">
        <w:rPr>
          <w:rFonts w:ascii="Times New Roman" w:hAnsi="Times New Roman"/>
          <w:sz w:val="24"/>
          <w:szCs w:val="24"/>
          <w:shd w:val="clear" w:color="auto" w:fill="FFFFFF"/>
        </w:rPr>
        <w:t>  </w:t>
      </w:r>
      <w:r w:rsidR="003F3088" w:rsidRPr="003F3088">
        <w:rPr>
          <w:rFonts w:ascii="Times New Roman" w:eastAsia="Times New Roman" w:hAnsi="Times New Roman"/>
          <w:sz w:val="24"/>
          <w:szCs w:val="24"/>
        </w:rPr>
        <w:t>The Education of the Handicapped was a federal government act that provided money to assist the education of handicapped children. The state had to show that it conducted a policy that gave handicapped children the right to “free appropriate public education” through an “individualized educational program” (IEP).</w:t>
      </w:r>
    </w:p>
    <w:p w:rsidR="003F3088" w:rsidRPr="003F3088" w:rsidRDefault="003F3088" w:rsidP="003F3088">
      <w:pPr>
        <w:pStyle w:val="BodyText"/>
        <w:spacing w:line="480" w:lineRule="auto"/>
        <w:ind w:firstLine="720"/>
      </w:pPr>
      <w:r w:rsidRPr="003F3088">
        <w:t xml:space="preserve">Amy Rowley was a deaf student attending Furnace Woods School in </w:t>
      </w:r>
      <w:proofErr w:type="spellStart"/>
      <w:r w:rsidRPr="003F3088">
        <w:t>Hendrick</w:t>
      </w:r>
      <w:proofErr w:type="spellEnd"/>
      <w:r w:rsidRPr="003F3088">
        <w:t xml:space="preserve"> Huds</w:t>
      </w:r>
      <w:r>
        <w:t>on Central School District in New York</w:t>
      </w:r>
      <w:r w:rsidRPr="003F3088">
        <w:t xml:space="preserve">. Before her school attendance, her parents and the school administrators decided to put her in a regular class to determine what kind of supplemental services she would need. It was decided that Amy should remain in regular class, but would be provided with </w:t>
      </w:r>
      <w:r>
        <w:t>a hearing aid. She completed her K</w:t>
      </w:r>
      <w:r w:rsidRPr="003F3088">
        <w:t>indergarten year without any difficulty.</w:t>
      </w:r>
    </w:p>
    <w:p w:rsidR="003F3088" w:rsidRPr="003F3088" w:rsidRDefault="003F3088" w:rsidP="003F3088">
      <w:pPr>
        <w:spacing w:line="480" w:lineRule="auto"/>
        <w:ind w:firstLine="720"/>
        <w:rPr>
          <w:rFonts w:ascii="Times New Roman" w:eastAsia="Times New Roman" w:hAnsi="Times New Roman"/>
        </w:rPr>
      </w:pPr>
      <w:r>
        <w:rPr>
          <w:rFonts w:ascii="Times New Roman" w:eastAsia="Times New Roman" w:hAnsi="Times New Roman"/>
          <w:sz w:val="24"/>
          <w:szCs w:val="24"/>
        </w:rPr>
        <w:t xml:space="preserve">When she began </w:t>
      </w:r>
      <w:r w:rsidRPr="003F3088">
        <w:rPr>
          <w:rFonts w:ascii="Times New Roman" w:eastAsia="Times New Roman" w:hAnsi="Times New Roman"/>
          <w:sz w:val="24"/>
          <w:szCs w:val="24"/>
        </w:rPr>
        <w:t>first grade, an IEP was prepared, saying that she should be in a regular class, receive</w:t>
      </w:r>
      <w:r>
        <w:rPr>
          <w:rFonts w:ascii="Times New Roman" w:eastAsia="Times New Roman" w:hAnsi="Times New Roman"/>
          <w:sz w:val="24"/>
          <w:szCs w:val="24"/>
        </w:rPr>
        <w:t xml:space="preserve"> a</w:t>
      </w:r>
      <w:r w:rsidRPr="003F3088">
        <w:rPr>
          <w:rFonts w:ascii="Times New Roman" w:eastAsia="Times New Roman" w:hAnsi="Times New Roman"/>
          <w:sz w:val="24"/>
          <w:szCs w:val="24"/>
        </w:rPr>
        <w:t xml:space="preserve"> hearing aid, </w:t>
      </w:r>
      <w:r>
        <w:rPr>
          <w:rFonts w:ascii="Times New Roman" w:eastAsia="Times New Roman" w:hAnsi="Times New Roman"/>
          <w:sz w:val="24"/>
          <w:szCs w:val="24"/>
        </w:rPr>
        <w:t xml:space="preserve">and </w:t>
      </w:r>
      <w:r w:rsidRPr="003F3088">
        <w:rPr>
          <w:rFonts w:ascii="Times New Roman" w:eastAsia="Times New Roman" w:hAnsi="Times New Roman"/>
          <w:sz w:val="24"/>
          <w:szCs w:val="24"/>
        </w:rPr>
        <w:t>instruction from a tutor for the deaf and a speech therapist. Her parents agreed, but also wanted a sign language interpreter in her classes. But during</w:t>
      </w:r>
      <w:r>
        <w:rPr>
          <w:rFonts w:ascii="Times New Roman" w:eastAsia="Times New Roman" w:hAnsi="Times New Roman"/>
          <w:sz w:val="24"/>
          <w:szCs w:val="24"/>
        </w:rPr>
        <w:t xml:space="preserve"> her K</w:t>
      </w:r>
      <w:r w:rsidRPr="003F3088">
        <w:rPr>
          <w:rFonts w:ascii="Times New Roman" w:eastAsia="Times New Roman" w:hAnsi="Times New Roman"/>
          <w:sz w:val="24"/>
          <w:szCs w:val="24"/>
        </w:rPr>
        <w:t>indergarten year, the sign language interpreter reported that she did not need his services after a two-week trial period. The school concluded that Amy did not need an interpreter during her first grade after considering testimony from people familiar with her academic progress.</w:t>
      </w:r>
    </w:p>
    <w:p w:rsidR="003F3088" w:rsidRPr="003F3088" w:rsidRDefault="003F3088" w:rsidP="003F3088">
      <w:pPr>
        <w:pStyle w:val="BodyText"/>
        <w:spacing w:line="480" w:lineRule="auto"/>
        <w:ind w:firstLine="720"/>
      </w:pPr>
      <w:r w:rsidRPr="003F3088">
        <w:t xml:space="preserve">The </w:t>
      </w:r>
      <w:proofErr w:type="spellStart"/>
      <w:r w:rsidRPr="003F3088">
        <w:t>Rowleys</w:t>
      </w:r>
      <w:proofErr w:type="spellEnd"/>
      <w:r w:rsidRPr="003F3088">
        <w:t xml:space="preserve"> demanded a hearing before an independent examiner. The examiner also agreed that an interpreter was not necessary because Amy could do well academically and socially without assistance. The </w:t>
      </w:r>
      <w:proofErr w:type="spellStart"/>
      <w:r w:rsidRPr="003F3088">
        <w:t>Rowleys</w:t>
      </w:r>
      <w:proofErr w:type="spellEnd"/>
      <w:r w:rsidRPr="003F3088">
        <w:t xml:space="preserve"> brought the case to the district court, claiming that the denial of sign language interpreter was a violation of a “free appropriate public education”.</w:t>
      </w:r>
    </w:p>
    <w:p w:rsidR="003F3088" w:rsidRPr="003F3088" w:rsidRDefault="003F3088" w:rsidP="003F3088">
      <w:pPr>
        <w:spacing w:line="480" w:lineRule="auto"/>
        <w:ind w:firstLine="720"/>
        <w:rPr>
          <w:rFonts w:ascii="Times New Roman" w:eastAsia="Times New Roman" w:hAnsi="Times New Roman"/>
          <w:sz w:val="24"/>
          <w:szCs w:val="24"/>
        </w:rPr>
      </w:pPr>
      <w:r w:rsidRPr="003F3088">
        <w:rPr>
          <w:rFonts w:ascii="Times New Roman" w:eastAsia="Times New Roman" w:hAnsi="Times New Roman"/>
          <w:sz w:val="24"/>
          <w:szCs w:val="24"/>
        </w:rPr>
        <w:lastRenderedPageBreak/>
        <w:t>The district court found that Amy could advance from grade to grade, but did not perform as well as she could if she were not deaf. Because of the difference between her performance and her potential, the court decided she did not receive a “free</w:t>
      </w:r>
      <w:r>
        <w:rPr>
          <w:rFonts w:ascii="Times New Roman" w:eastAsia="Times New Roman" w:hAnsi="Times New Roman"/>
          <w:sz w:val="24"/>
          <w:szCs w:val="24"/>
        </w:rPr>
        <w:t xml:space="preserve"> appropriate public education,” </w:t>
      </w:r>
      <w:r w:rsidRPr="003F3088">
        <w:rPr>
          <w:rFonts w:ascii="Times New Roman" w:eastAsia="Times New Roman" w:hAnsi="Times New Roman"/>
          <w:sz w:val="24"/>
          <w:szCs w:val="24"/>
        </w:rPr>
        <w:t>which they defined as an opportunity to achieve her full potential. The court of appeals also agreed with the district court.</w:t>
      </w:r>
    </w:p>
    <w:p w:rsidR="003F3088" w:rsidRPr="003F3088" w:rsidRDefault="003F3088" w:rsidP="003F3088">
      <w:pPr>
        <w:spacing w:after="0" w:line="480" w:lineRule="auto"/>
        <w:ind w:firstLine="720"/>
        <w:rPr>
          <w:rFonts w:ascii="Times New Roman" w:hAnsi="Times New Roman"/>
          <w:sz w:val="24"/>
          <w:szCs w:val="24"/>
        </w:rPr>
      </w:pPr>
      <w:r w:rsidRPr="003F3088">
        <w:rPr>
          <w:rFonts w:ascii="Times New Roman" w:hAnsi="Times New Roman"/>
          <w:sz w:val="24"/>
          <w:szCs w:val="24"/>
        </w:rPr>
        <w:t>Since both district court and court of appeals failed to provide evidence th</w:t>
      </w:r>
      <w:r>
        <w:rPr>
          <w:rFonts w:ascii="Times New Roman" w:hAnsi="Times New Roman"/>
          <w:sz w:val="24"/>
          <w:szCs w:val="24"/>
        </w:rPr>
        <w:t xml:space="preserve">at the school violated the Act, </w:t>
      </w:r>
      <w:r w:rsidRPr="003F3088">
        <w:rPr>
          <w:rFonts w:ascii="Times New Roman" w:hAnsi="Times New Roman"/>
          <w:sz w:val="24"/>
          <w:szCs w:val="24"/>
        </w:rPr>
        <w:t>or evidence that Amy’s educational program failed to comply with the requirement of the Act, the Supreme Court reversed and remanded the case.  </w:t>
      </w:r>
      <w:r w:rsidRPr="003F3088">
        <w:rPr>
          <w:rFonts w:ascii="Times New Roman" w:eastAsia="Times New Roman" w:hAnsi="Times New Roman"/>
          <w:sz w:val="24"/>
          <w:szCs w:val="24"/>
        </w:rPr>
        <w:t>The Supreme Court focused on the definition of a “free appropriate public education”. There was no requirement that the state had to maximize the potential of handicapped children. The specialized educational service for handicapped children did not mean that the service had to maximize each child’s potential since it was impossible to measure and compare their potential.</w:t>
      </w:r>
    </w:p>
    <w:p w:rsidR="003F3088" w:rsidRDefault="003F3088" w:rsidP="003F3088">
      <w:pPr>
        <w:spacing w:line="480" w:lineRule="auto"/>
        <w:ind w:firstLine="720"/>
        <w:rPr>
          <w:rFonts w:ascii="Times New Roman" w:hAnsi="Times New Roman"/>
          <w:sz w:val="24"/>
          <w:szCs w:val="24"/>
          <w:shd w:val="clear" w:color="auto" w:fill="FFFFFF"/>
        </w:rPr>
      </w:pPr>
      <w:r w:rsidRPr="003F3088">
        <w:rPr>
          <w:rFonts w:ascii="Times New Roman" w:eastAsia="Times New Roman" w:hAnsi="Times New Roman"/>
          <w:sz w:val="24"/>
          <w:szCs w:val="24"/>
        </w:rPr>
        <w:t xml:space="preserve">From the history of the cases the Court decided, the intent of the Act was to give handicapped children access to public education. It did not guarantee </w:t>
      </w:r>
      <w:r>
        <w:rPr>
          <w:rFonts w:ascii="Times New Roman" w:eastAsia="Times New Roman" w:hAnsi="Times New Roman"/>
          <w:sz w:val="24"/>
          <w:szCs w:val="24"/>
        </w:rPr>
        <w:t xml:space="preserve">any level of education for </w:t>
      </w:r>
      <w:r w:rsidRPr="003F3088">
        <w:rPr>
          <w:rFonts w:ascii="Times New Roman" w:eastAsia="Times New Roman" w:hAnsi="Times New Roman"/>
          <w:sz w:val="24"/>
          <w:szCs w:val="24"/>
        </w:rPr>
        <w:t xml:space="preserve">them </w:t>
      </w:r>
      <w:r w:rsidRPr="003F3088">
        <w:rPr>
          <w:rFonts w:ascii="Times New Roman" w:hAnsi="Times New Roman"/>
          <w:sz w:val="24"/>
          <w:szCs w:val="24"/>
          <w:shd w:val="clear" w:color="auto" w:fill="FFFFFF"/>
        </w:rPr>
        <w:t>(Goldberg, 1982)</w:t>
      </w:r>
      <w:r>
        <w:rPr>
          <w:rFonts w:ascii="Times New Roman" w:hAnsi="Times New Roman"/>
          <w:sz w:val="24"/>
          <w:szCs w:val="24"/>
          <w:shd w:val="clear" w:color="auto" w:fill="FFFFFF"/>
        </w:rPr>
        <w:t>.</w:t>
      </w:r>
    </w:p>
    <w:p w:rsidR="003F3088" w:rsidRDefault="003F3088" w:rsidP="003F3088">
      <w:pPr>
        <w:spacing w:line="480" w:lineRule="auto"/>
        <w:ind w:firstLine="720"/>
        <w:rPr>
          <w:rFonts w:ascii="Times New Roman" w:hAnsi="Times New Roman"/>
          <w:sz w:val="24"/>
          <w:szCs w:val="24"/>
          <w:shd w:val="clear" w:color="auto" w:fill="FFFFFF"/>
        </w:rPr>
      </w:pPr>
    </w:p>
    <w:p w:rsidR="003F3088" w:rsidRDefault="003F3088" w:rsidP="003F3088">
      <w:pPr>
        <w:spacing w:line="480" w:lineRule="auto"/>
        <w:ind w:firstLine="720"/>
        <w:rPr>
          <w:rFonts w:ascii="Times New Roman" w:hAnsi="Times New Roman"/>
          <w:sz w:val="24"/>
          <w:szCs w:val="24"/>
          <w:shd w:val="clear" w:color="auto" w:fill="FFFFFF"/>
        </w:rPr>
      </w:pPr>
    </w:p>
    <w:p w:rsidR="003F3088" w:rsidRDefault="003F3088" w:rsidP="003F3088">
      <w:pPr>
        <w:spacing w:line="480" w:lineRule="auto"/>
        <w:ind w:firstLine="720"/>
        <w:rPr>
          <w:rFonts w:ascii="Times New Roman" w:hAnsi="Times New Roman"/>
          <w:sz w:val="24"/>
          <w:szCs w:val="24"/>
          <w:shd w:val="clear" w:color="auto" w:fill="FFFFFF"/>
        </w:rPr>
      </w:pPr>
    </w:p>
    <w:p w:rsidR="003F3088" w:rsidRDefault="003F3088" w:rsidP="003F3088">
      <w:pPr>
        <w:spacing w:line="480" w:lineRule="auto"/>
        <w:ind w:firstLine="720"/>
        <w:rPr>
          <w:rFonts w:ascii="Times New Roman" w:hAnsi="Times New Roman"/>
          <w:sz w:val="24"/>
          <w:szCs w:val="24"/>
          <w:shd w:val="clear" w:color="auto" w:fill="FFFFFF"/>
        </w:rPr>
      </w:pPr>
    </w:p>
    <w:p w:rsidR="003F3088" w:rsidRDefault="003F3088" w:rsidP="003F3088">
      <w:pPr>
        <w:spacing w:line="480" w:lineRule="auto"/>
        <w:ind w:firstLine="720"/>
        <w:rPr>
          <w:rFonts w:ascii="Times New Roman" w:hAnsi="Times New Roman"/>
          <w:sz w:val="24"/>
          <w:szCs w:val="24"/>
          <w:shd w:val="clear" w:color="auto" w:fill="FFFFFF"/>
        </w:rPr>
      </w:pPr>
    </w:p>
    <w:p w:rsidR="003F3088" w:rsidRDefault="003F3088" w:rsidP="003F3088">
      <w:pPr>
        <w:spacing w:line="480" w:lineRule="auto"/>
        <w:ind w:firstLine="720"/>
        <w:rPr>
          <w:rFonts w:ascii="Times New Roman" w:hAnsi="Times New Roman"/>
          <w:sz w:val="24"/>
          <w:szCs w:val="24"/>
          <w:shd w:val="clear" w:color="auto" w:fill="FFFFFF"/>
        </w:rPr>
      </w:pPr>
    </w:p>
    <w:p w:rsidR="003F3088" w:rsidRPr="00742F10" w:rsidRDefault="003F3088" w:rsidP="00742F10">
      <w:pPr>
        <w:spacing w:line="480" w:lineRule="auto"/>
        <w:ind w:firstLine="720"/>
        <w:jc w:val="center"/>
        <w:rPr>
          <w:rFonts w:ascii="Times New Roman" w:hAnsi="Times New Roman"/>
          <w:sz w:val="24"/>
          <w:szCs w:val="24"/>
          <w:shd w:val="clear" w:color="auto" w:fill="FFFFFF"/>
        </w:rPr>
      </w:pPr>
      <w:r w:rsidRPr="00742F10">
        <w:rPr>
          <w:rFonts w:ascii="Times New Roman" w:hAnsi="Times New Roman"/>
          <w:sz w:val="24"/>
          <w:szCs w:val="24"/>
          <w:shd w:val="clear" w:color="auto" w:fill="FFFFFF"/>
        </w:rPr>
        <w:lastRenderedPageBreak/>
        <w:t>Legal Case Analysis</w:t>
      </w:r>
      <w:r w:rsidR="00742F10" w:rsidRPr="00742F10">
        <w:rPr>
          <w:rFonts w:ascii="Times New Roman" w:hAnsi="Times New Roman"/>
          <w:sz w:val="24"/>
          <w:szCs w:val="24"/>
          <w:shd w:val="clear" w:color="auto" w:fill="FFFFFF"/>
        </w:rPr>
        <w:t xml:space="preserve">:  </w:t>
      </w:r>
      <w:hyperlink r:id="rId7" w:tooltip="Permanent Link to Forest Grove School District v. T.A. (2009)" w:history="1">
        <w:r w:rsidR="00742F10" w:rsidRPr="00742F10">
          <w:rPr>
            <w:rStyle w:val="Hyperlink"/>
            <w:rFonts w:ascii="Times New Roman" w:hAnsi="Times New Roman"/>
            <w:color w:val="auto"/>
            <w:sz w:val="24"/>
            <w:szCs w:val="24"/>
            <w:u w:val="none"/>
            <w:bdr w:val="none" w:sz="0" w:space="0" w:color="auto" w:frame="1"/>
            <w:shd w:val="clear" w:color="auto" w:fill="FFFFFF"/>
          </w:rPr>
          <w:t>Forest Grove School District v. T.A. (2009)</w:t>
        </w:r>
      </w:hyperlink>
    </w:p>
    <w:p w:rsidR="003F3088" w:rsidRPr="00742F10" w:rsidRDefault="00742F10" w:rsidP="00742F10">
      <w:pPr>
        <w:pStyle w:val="NormalWeb"/>
        <w:spacing w:before="0" w:beforeAutospacing="0" w:after="150" w:afterAutospacing="0" w:line="480" w:lineRule="auto"/>
        <w:ind w:firstLine="720"/>
        <w:textAlignment w:val="baseline"/>
      </w:pPr>
      <w:r w:rsidRPr="00742F10">
        <w:t xml:space="preserve">In </w:t>
      </w:r>
      <w:r w:rsidR="003F3088" w:rsidRPr="00742F10">
        <w:t>2003, T.A., a former student in the Forest Grove School District, sought to be evaluated for suspected learning disabilities. In 2004, the Office of Administrative Hearings for the State of Oregon determined that T.A. was disabled and eligible for special education under the Individual with Disabilities Education Act (IDEA) and Section 504 of the Rehabilitation Act of 1973. As T.A. was no longer enrolled in the Forest Grove School District, but attending private school, the hearing officer ordered the school district to reimburse T.A. for the private school tuition ($5,200 per month), determining it had failed to offer him a free and appropriate public education.</w:t>
      </w:r>
    </w:p>
    <w:p w:rsidR="003F3088" w:rsidRPr="00742F10" w:rsidRDefault="003F3088" w:rsidP="00742F10">
      <w:pPr>
        <w:pStyle w:val="NormalWeb"/>
        <w:spacing w:before="150" w:beforeAutospacing="0" w:after="150" w:afterAutospacing="0" w:line="480" w:lineRule="auto"/>
        <w:ind w:firstLine="720"/>
        <w:textAlignment w:val="baseline"/>
      </w:pPr>
      <w:r w:rsidRPr="00742F10">
        <w:t>The school district appealed the order in an Oregon federal district court arguing that reimbursement was not appropriate because T.A. unilaterally withdrew from school, never received special education services while enrolled, and withdrew for reasons unrelated to his learning disability. The district court invalidated the order. On appeal, the U.S. Court of Appeals for the Ninth Circuit reversed the district court and upheld the order. It reasoned that IDEA provided the courts broad discretion in order to achieve "equitable relief" for disabled students, including reimbursement for private school tuition.</w:t>
      </w:r>
    </w:p>
    <w:p w:rsidR="00742F10" w:rsidRPr="00742F10" w:rsidRDefault="00742F10" w:rsidP="00742F10">
      <w:pPr>
        <w:pStyle w:val="NormalWeb"/>
        <w:spacing w:before="0" w:beforeAutospacing="0" w:after="0" w:afterAutospacing="0" w:line="480" w:lineRule="auto"/>
        <w:ind w:firstLine="720"/>
        <w:textAlignment w:val="baseline"/>
      </w:pPr>
      <w:r w:rsidRPr="00742F10">
        <w:t>The Supreme Court held that IDEA authorizes reimbursement for private special-education services when a public school fails to provide free appropriate public education (FAPE) and the private school placement is appropriate, regardless of whether the child previously received special education services through the public school. With Justice John Paul Stevens writing for the majority and joined by Chief Justice John G. Roberts, and Justices Anthony M. Kennedy, Ruth Bader Ginsburg, Stephen G. Breyer, and Samuel A. Alito, the Court relied on its decisions in</w:t>
      </w:r>
      <w:r w:rsidRPr="00742F10">
        <w:rPr>
          <w:rStyle w:val="apple-converted-space"/>
        </w:rPr>
        <w:t> </w:t>
      </w:r>
      <w:r>
        <w:rPr>
          <w:rStyle w:val="Emphasis"/>
          <w:bdr w:val="none" w:sz="0" w:space="0" w:color="auto" w:frame="1"/>
        </w:rPr>
        <w:t>Burlington v. Dep</w:t>
      </w:r>
      <w:r w:rsidRPr="00742F10">
        <w:rPr>
          <w:rStyle w:val="Emphasis"/>
          <w:bdr w:val="none" w:sz="0" w:space="0" w:color="auto" w:frame="1"/>
        </w:rPr>
        <w:t>artment of Ed. of Mass.</w:t>
      </w:r>
      <w:r w:rsidRPr="00742F10">
        <w:rPr>
          <w:rStyle w:val="apple-converted-space"/>
        </w:rPr>
        <w:t> </w:t>
      </w:r>
      <w:r w:rsidRPr="00742F10">
        <w:t>and</w:t>
      </w:r>
      <w:r w:rsidRPr="00742F10">
        <w:rPr>
          <w:rStyle w:val="apple-converted-space"/>
        </w:rPr>
        <w:t> </w:t>
      </w:r>
      <w:r w:rsidRPr="00742F10">
        <w:rPr>
          <w:rStyle w:val="Emphasis"/>
          <w:bdr w:val="none" w:sz="0" w:space="0" w:color="auto" w:frame="1"/>
        </w:rPr>
        <w:t xml:space="preserve">Florence County School </w:t>
      </w:r>
      <w:r w:rsidRPr="00742F10">
        <w:rPr>
          <w:rStyle w:val="Emphasis"/>
          <w:bdr w:val="none" w:sz="0" w:space="0" w:color="auto" w:frame="1"/>
        </w:rPr>
        <w:lastRenderedPageBreak/>
        <w:t>Dist. 4 v. Carter</w:t>
      </w:r>
      <w:r w:rsidRPr="00742F10">
        <w:rPr>
          <w:rStyle w:val="apple-converted-space"/>
        </w:rPr>
        <w:t> </w:t>
      </w:r>
      <w:r w:rsidRPr="00742F10">
        <w:t>to reach its conclusion. There, the Court had found that courts had the power to reimburse parents for private school tuition when a school district fails to provide FAPE and a private school placement is appropriate.</w:t>
      </w:r>
    </w:p>
    <w:p w:rsidR="00742F10" w:rsidRDefault="00742F10" w:rsidP="00742F10">
      <w:pPr>
        <w:pStyle w:val="NormalWeb"/>
        <w:spacing w:before="150" w:beforeAutospacing="0" w:after="150" w:afterAutospacing="0" w:line="480" w:lineRule="auto"/>
        <w:ind w:firstLine="720"/>
        <w:textAlignment w:val="baseline"/>
      </w:pPr>
      <w:r w:rsidRPr="00742F10">
        <w:t>Justice David H. Souter dissented and was joined by Justices Antonin G. Scalia and Clarence Thomas. He argued that the 1997 Congressional amendments to IDEA limited reimbursement for private school tuition when the public school had provided FAPE and the student's withdrawal was unilateral, and then criticized the majority for not recognizing such limitation</w:t>
      </w:r>
      <w:r>
        <w:t>s (Goldberg, 2009).</w:t>
      </w:r>
    </w:p>
    <w:p w:rsidR="00742F10" w:rsidRDefault="00742F10" w:rsidP="00742F10">
      <w:pPr>
        <w:pStyle w:val="NormalWeb"/>
        <w:spacing w:before="150" w:beforeAutospacing="0" w:after="150" w:afterAutospacing="0" w:line="300" w:lineRule="atLeast"/>
        <w:ind w:firstLine="720"/>
        <w:textAlignment w:val="baseline"/>
      </w:pPr>
    </w:p>
    <w:p w:rsidR="00742F10" w:rsidRDefault="00742F10" w:rsidP="00742F10">
      <w:pPr>
        <w:pStyle w:val="NormalWeb"/>
        <w:spacing w:before="150" w:beforeAutospacing="0" w:after="150" w:afterAutospacing="0" w:line="300" w:lineRule="atLeast"/>
        <w:ind w:firstLine="720"/>
        <w:textAlignment w:val="baseline"/>
      </w:pPr>
    </w:p>
    <w:p w:rsidR="00742F10" w:rsidRDefault="00742F10" w:rsidP="00742F10">
      <w:pPr>
        <w:pStyle w:val="NormalWeb"/>
        <w:spacing w:before="150" w:beforeAutospacing="0" w:after="150" w:afterAutospacing="0" w:line="300" w:lineRule="atLeast"/>
        <w:ind w:firstLine="720"/>
        <w:textAlignment w:val="baseline"/>
      </w:pPr>
    </w:p>
    <w:p w:rsidR="00742F10" w:rsidRDefault="00742F10" w:rsidP="00742F10">
      <w:pPr>
        <w:pStyle w:val="NormalWeb"/>
        <w:spacing w:before="150" w:beforeAutospacing="0" w:after="150" w:afterAutospacing="0" w:line="300" w:lineRule="atLeast"/>
        <w:ind w:firstLine="720"/>
        <w:textAlignment w:val="baseline"/>
      </w:pPr>
    </w:p>
    <w:p w:rsidR="00742F10" w:rsidRDefault="00742F10" w:rsidP="00742F10">
      <w:pPr>
        <w:pStyle w:val="NormalWeb"/>
        <w:spacing w:before="150" w:beforeAutospacing="0" w:after="150" w:afterAutospacing="0" w:line="300" w:lineRule="atLeast"/>
        <w:ind w:firstLine="720"/>
        <w:textAlignment w:val="baseline"/>
      </w:pPr>
    </w:p>
    <w:p w:rsidR="00742F10" w:rsidRDefault="00742F10" w:rsidP="00742F10">
      <w:pPr>
        <w:pStyle w:val="NormalWeb"/>
        <w:spacing w:before="150" w:beforeAutospacing="0" w:after="150" w:afterAutospacing="0" w:line="300" w:lineRule="atLeast"/>
        <w:ind w:firstLine="720"/>
        <w:textAlignment w:val="baseline"/>
      </w:pPr>
    </w:p>
    <w:p w:rsidR="00742F10" w:rsidRDefault="00742F10" w:rsidP="00742F10">
      <w:pPr>
        <w:spacing w:line="480" w:lineRule="auto"/>
        <w:jc w:val="center"/>
        <w:rPr>
          <w:rFonts w:ascii="Times New Roman" w:hAnsi="Times New Roman"/>
          <w:sz w:val="24"/>
        </w:rPr>
      </w:pPr>
    </w:p>
    <w:p w:rsidR="00742F10" w:rsidRDefault="00742F10" w:rsidP="00742F10">
      <w:pPr>
        <w:spacing w:line="480" w:lineRule="auto"/>
        <w:jc w:val="center"/>
        <w:rPr>
          <w:rFonts w:ascii="Times New Roman" w:hAnsi="Times New Roman"/>
          <w:sz w:val="24"/>
        </w:rPr>
      </w:pPr>
    </w:p>
    <w:p w:rsidR="00742F10" w:rsidRDefault="00742F10" w:rsidP="00742F10">
      <w:pPr>
        <w:spacing w:line="480" w:lineRule="auto"/>
        <w:jc w:val="center"/>
        <w:rPr>
          <w:rFonts w:ascii="Times New Roman" w:hAnsi="Times New Roman"/>
          <w:sz w:val="24"/>
        </w:rPr>
      </w:pPr>
    </w:p>
    <w:p w:rsidR="00742F10" w:rsidRDefault="00742F10" w:rsidP="00742F10">
      <w:pPr>
        <w:spacing w:line="480" w:lineRule="auto"/>
        <w:jc w:val="center"/>
        <w:rPr>
          <w:rFonts w:ascii="Times New Roman" w:hAnsi="Times New Roman"/>
          <w:sz w:val="24"/>
        </w:rPr>
      </w:pPr>
    </w:p>
    <w:p w:rsidR="00742F10" w:rsidRDefault="00742F10" w:rsidP="00742F10">
      <w:pPr>
        <w:spacing w:line="480" w:lineRule="auto"/>
        <w:jc w:val="center"/>
        <w:rPr>
          <w:rFonts w:ascii="Times New Roman" w:hAnsi="Times New Roman"/>
          <w:sz w:val="24"/>
        </w:rPr>
      </w:pPr>
    </w:p>
    <w:p w:rsidR="00742F10" w:rsidRDefault="00742F10" w:rsidP="00742F10">
      <w:pPr>
        <w:spacing w:line="480" w:lineRule="auto"/>
        <w:jc w:val="center"/>
        <w:rPr>
          <w:rFonts w:ascii="Times New Roman" w:hAnsi="Times New Roman"/>
          <w:sz w:val="24"/>
        </w:rPr>
      </w:pPr>
    </w:p>
    <w:p w:rsidR="00742F10" w:rsidRDefault="00742F10" w:rsidP="00742F10">
      <w:pPr>
        <w:spacing w:line="480" w:lineRule="auto"/>
        <w:jc w:val="center"/>
        <w:rPr>
          <w:rFonts w:ascii="Times New Roman" w:hAnsi="Times New Roman"/>
          <w:sz w:val="24"/>
        </w:rPr>
      </w:pPr>
    </w:p>
    <w:p w:rsidR="00742F10" w:rsidRDefault="00742F10" w:rsidP="00742F10">
      <w:pPr>
        <w:spacing w:line="480" w:lineRule="auto"/>
        <w:jc w:val="center"/>
        <w:rPr>
          <w:rFonts w:ascii="Times New Roman" w:hAnsi="Times New Roman"/>
          <w:sz w:val="24"/>
        </w:rPr>
      </w:pPr>
    </w:p>
    <w:p w:rsidR="00742F10" w:rsidRDefault="00742F10" w:rsidP="00742F10">
      <w:pPr>
        <w:spacing w:line="480" w:lineRule="auto"/>
        <w:jc w:val="center"/>
        <w:rPr>
          <w:rFonts w:ascii="Times New Roman" w:hAnsi="Times New Roman"/>
          <w:sz w:val="24"/>
        </w:rPr>
      </w:pPr>
      <w:r>
        <w:rPr>
          <w:rFonts w:ascii="Times New Roman" w:hAnsi="Times New Roman"/>
          <w:sz w:val="24"/>
        </w:rPr>
        <w:lastRenderedPageBreak/>
        <w:t>References</w:t>
      </w:r>
    </w:p>
    <w:p w:rsidR="00742F10" w:rsidRDefault="00742F10" w:rsidP="00742F10">
      <w:pPr>
        <w:spacing w:after="0" w:line="480" w:lineRule="auto"/>
        <w:ind w:left="1000" w:hanging="1000"/>
      </w:pPr>
      <w:r>
        <w:rPr>
          <w:rFonts w:ascii="Times New Roman" w:hAnsi="Times New Roman"/>
          <w:sz w:val="24"/>
        </w:rPr>
        <w:t xml:space="preserve">Goldberg, D. (1982). </w:t>
      </w:r>
      <w:proofErr w:type="spellStart"/>
      <w:proofErr w:type="gramStart"/>
      <w:r>
        <w:rPr>
          <w:rFonts w:ascii="Times New Roman" w:hAnsi="Times New Roman"/>
          <w:sz w:val="24"/>
        </w:rPr>
        <w:t>Hendrick</w:t>
      </w:r>
      <w:proofErr w:type="spellEnd"/>
      <w:r>
        <w:rPr>
          <w:rFonts w:ascii="Times New Roman" w:hAnsi="Times New Roman"/>
          <w:sz w:val="24"/>
        </w:rPr>
        <w:t xml:space="preserve"> Hudson Board of Education.</w:t>
      </w:r>
      <w:proofErr w:type="gramEnd"/>
      <w:r>
        <w:rPr>
          <w:rFonts w:ascii="Times New Roman" w:hAnsi="Times New Roman"/>
          <w:sz w:val="24"/>
        </w:rPr>
        <w:t xml:space="preserve"> v. Rowley, 458 U.S. 176 (1982). Retrieved June 4, 2014, from http://www.specialeducationadvisor.com/hendrick-hudson-rowley-458-us-176-1982/</w:t>
      </w:r>
    </w:p>
    <w:p w:rsidR="00742F10" w:rsidRDefault="00742F10" w:rsidP="00742F10">
      <w:pPr>
        <w:spacing w:after="0" w:line="480" w:lineRule="auto"/>
        <w:ind w:left="1000" w:hanging="1000"/>
      </w:pPr>
      <w:r>
        <w:rPr>
          <w:rFonts w:ascii="Times New Roman" w:hAnsi="Times New Roman"/>
          <w:sz w:val="24"/>
        </w:rPr>
        <w:t xml:space="preserve">Goldberg, D. (2009). </w:t>
      </w:r>
      <w:proofErr w:type="gramStart"/>
      <w:r>
        <w:rPr>
          <w:rFonts w:ascii="Times New Roman" w:hAnsi="Times New Roman"/>
          <w:sz w:val="24"/>
        </w:rPr>
        <w:t>Forest Grove School District v. T.A. (2009).</w:t>
      </w:r>
      <w:proofErr w:type="gramEnd"/>
      <w:r>
        <w:rPr>
          <w:rFonts w:ascii="Times New Roman" w:hAnsi="Times New Roman"/>
          <w:sz w:val="24"/>
        </w:rPr>
        <w:t xml:space="preserve"> Retrieved June 4, 2014, from http://www.specialeducationadvisor.com/forest-grove-school-district-ta-2009/</w:t>
      </w:r>
    </w:p>
    <w:p w:rsidR="00742F10" w:rsidRPr="00742F10" w:rsidRDefault="00742F10" w:rsidP="00742F10">
      <w:pPr>
        <w:pStyle w:val="NormalWeb"/>
        <w:spacing w:before="150" w:beforeAutospacing="0" w:after="150" w:afterAutospacing="0" w:line="300" w:lineRule="atLeast"/>
        <w:ind w:firstLine="720"/>
        <w:textAlignment w:val="baseline"/>
      </w:pPr>
    </w:p>
    <w:p w:rsidR="002B41CA" w:rsidRPr="00283E03" w:rsidRDefault="002B41CA" w:rsidP="00C23D57">
      <w:pPr>
        <w:spacing w:after="0" w:line="480" w:lineRule="auto"/>
        <w:ind w:left="720" w:hanging="720"/>
        <w:rPr>
          <w:rFonts w:ascii="Times New Roman" w:hAnsi="Times New Roman"/>
          <w:sz w:val="24"/>
          <w:szCs w:val="24"/>
        </w:rPr>
      </w:pPr>
    </w:p>
    <w:sectPr w:rsidR="002B41CA" w:rsidRPr="00283E03" w:rsidSect="007455E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C7E" w:rsidRDefault="00C80C7E" w:rsidP="00DB4C37">
      <w:pPr>
        <w:spacing w:after="0" w:line="240" w:lineRule="auto"/>
      </w:pPr>
      <w:r>
        <w:separator/>
      </w:r>
    </w:p>
  </w:endnote>
  <w:endnote w:type="continuationSeparator" w:id="0">
    <w:p w:rsidR="00C80C7E" w:rsidRDefault="00C80C7E" w:rsidP="00D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C7E" w:rsidRDefault="00C80C7E" w:rsidP="00DB4C37">
      <w:pPr>
        <w:spacing w:after="0" w:line="240" w:lineRule="auto"/>
      </w:pPr>
      <w:r>
        <w:separator/>
      </w:r>
    </w:p>
  </w:footnote>
  <w:footnote w:type="continuationSeparator" w:id="0">
    <w:p w:rsidR="00C80C7E" w:rsidRDefault="00C80C7E" w:rsidP="00DB4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9D3" w:rsidRPr="00283E03" w:rsidRDefault="006E1524" w:rsidP="00DB4C37">
    <w:pPr>
      <w:pStyle w:val="Header"/>
      <w:rPr>
        <w:rFonts w:ascii="Times New Roman" w:hAnsi="Times New Roman"/>
        <w:sz w:val="24"/>
        <w:szCs w:val="24"/>
      </w:rPr>
    </w:pPr>
    <w:r>
      <w:rPr>
        <w:rFonts w:ascii="Times New Roman" w:hAnsi="Times New Roman"/>
        <w:sz w:val="24"/>
        <w:szCs w:val="24"/>
      </w:rPr>
      <w:t>LEGAL CASE ANALYSIS</w:t>
    </w:r>
    <w:r w:rsidR="002579D3" w:rsidRPr="00283E03">
      <w:rPr>
        <w:rFonts w:ascii="Times New Roman" w:hAnsi="Times New Roman"/>
        <w:sz w:val="24"/>
        <w:szCs w:val="24"/>
      </w:rPr>
      <w:tab/>
    </w:r>
    <w:r w:rsidR="002579D3" w:rsidRPr="00283E03">
      <w:rPr>
        <w:rFonts w:ascii="Times New Roman" w:hAnsi="Times New Roman"/>
        <w:sz w:val="24"/>
        <w:szCs w:val="24"/>
      </w:rPr>
      <w:tab/>
    </w:r>
    <w:r w:rsidR="00B027FE" w:rsidRPr="00283E03">
      <w:rPr>
        <w:rFonts w:ascii="Times New Roman" w:hAnsi="Times New Roman"/>
        <w:sz w:val="24"/>
        <w:szCs w:val="24"/>
      </w:rPr>
      <w:fldChar w:fldCharType="begin"/>
    </w:r>
    <w:r w:rsidR="002579D3" w:rsidRPr="00283E03">
      <w:rPr>
        <w:rFonts w:ascii="Times New Roman" w:hAnsi="Times New Roman"/>
        <w:sz w:val="24"/>
        <w:szCs w:val="24"/>
      </w:rPr>
      <w:instrText xml:space="preserve"> PAGE   \* MERGEFORMAT </w:instrText>
    </w:r>
    <w:r w:rsidR="00B027FE" w:rsidRPr="00283E03">
      <w:rPr>
        <w:rFonts w:ascii="Times New Roman" w:hAnsi="Times New Roman"/>
        <w:sz w:val="24"/>
        <w:szCs w:val="24"/>
      </w:rPr>
      <w:fldChar w:fldCharType="separate"/>
    </w:r>
    <w:r w:rsidR="00742F10">
      <w:rPr>
        <w:rFonts w:ascii="Times New Roman" w:hAnsi="Times New Roman"/>
        <w:noProof/>
        <w:sz w:val="24"/>
        <w:szCs w:val="24"/>
      </w:rPr>
      <w:t>2</w:t>
    </w:r>
    <w:r w:rsidR="00B027FE" w:rsidRPr="00283E03">
      <w:rPr>
        <w:rFonts w:ascii="Times New Roman" w:hAnsi="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9D3" w:rsidRPr="00283E03" w:rsidRDefault="002579D3" w:rsidP="007455E0">
    <w:pPr>
      <w:pStyle w:val="Header"/>
      <w:rPr>
        <w:rFonts w:ascii="Times New Roman" w:hAnsi="Times New Roman"/>
        <w:sz w:val="24"/>
        <w:szCs w:val="24"/>
      </w:rPr>
    </w:pPr>
    <w:r w:rsidRPr="00283E03">
      <w:rPr>
        <w:rFonts w:ascii="Times New Roman" w:hAnsi="Times New Roman"/>
        <w:sz w:val="24"/>
        <w:szCs w:val="24"/>
      </w:rPr>
      <w:t xml:space="preserve">Running </w:t>
    </w:r>
    <w:r>
      <w:rPr>
        <w:rFonts w:ascii="Times New Roman" w:hAnsi="Times New Roman"/>
        <w:sz w:val="24"/>
        <w:szCs w:val="24"/>
      </w:rPr>
      <w:t>h</w:t>
    </w:r>
    <w:r w:rsidRPr="00283E03">
      <w:rPr>
        <w:rFonts w:ascii="Times New Roman" w:hAnsi="Times New Roman"/>
        <w:sz w:val="24"/>
        <w:szCs w:val="24"/>
      </w:rPr>
      <w:t xml:space="preserve">ead: </w:t>
    </w:r>
    <w:r w:rsidR="006E1524">
      <w:rPr>
        <w:rFonts w:ascii="Times New Roman" w:hAnsi="Times New Roman"/>
        <w:sz w:val="24"/>
        <w:szCs w:val="24"/>
      </w:rPr>
      <w:t>LEGAL CASE ANALYSIS</w:t>
    </w:r>
    <w:r w:rsidR="006E1524">
      <w:rPr>
        <w:rFonts w:ascii="Times New Roman" w:hAnsi="Times New Roman"/>
        <w:sz w:val="24"/>
        <w:szCs w:val="24"/>
      </w:rPr>
      <w:tab/>
    </w:r>
    <w:r w:rsidRPr="00283E03">
      <w:rPr>
        <w:rFonts w:ascii="Times New Roman" w:hAnsi="Times New Roman"/>
        <w:sz w:val="24"/>
        <w:szCs w:val="24"/>
      </w:rPr>
      <w:tab/>
    </w:r>
    <w:r w:rsidR="00B027FE" w:rsidRPr="00283E03">
      <w:rPr>
        <w:rFonts w:ascii="Times New Roman" w:hAnsi="Times New Roman"/>
        <w:sz w:val="24"/>
        <w:szCs w:val="24"/>
      </w:rPr>
      <w:fldChar w:fldCharType="begin"/>
    </w:r>
    <w:r w:rsidRPr="00283E03">
      <w:rPr>
        <w:rFonts w:ascii="Times New Roman" w:hAnsi="Times New Roman"/>
        <w:sz w:val="24"/>
        <w:szCs w:val="24"/>
      </w:rPr>
      <w:instrText xml:space="preserve"> PAGE   \* MERGEFORMAT </w:instrText>
    </w:r>
    <w:r w:rsidR="00B027FE" w:rsidRPr="00283E03">
      <w:rPr>
        <w:rFonts w:ascii="Times New Roman" w:hAnsi="Times New Roman"/>
        <w:sz w:val="24"/>
        <w:szCs w:val="24"/>
      </w:rPr>
      <w:fldChar w:fldCharType="separate"/>
    </w:r>
    <w:r w:rsidR="00742F10">
      <w:rPr>
        <w:rFonts w:ascii="Times New Roman" w:hAnsi="Times New Roman"/>
        <w:noProof/>
        <w:sz w:val="24"/>
        <w:szCs w:val="24"/>
      </w:rPr>
      <w:t>1</w:t>
    </w:r>
    <w:r w:rsidR="00B027FE" w:rsidRPr="00283E03">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C76"/>
    <w:rsid w:val="00002FED"/>
    <w:rsid w:val="0003327C"/>
    <w:rsid w:val="000464D0"/>
    <w:rsid w:val="00084566"/>
    <w:rsid w:val="00116199"/>
    <w:rsid w:val="00191D00"/>
    <w:rsid w:val="00207B5A"/>
    <w:rsid w:val="00221381"/>
    <w:rsid w:val="002333BE"/>
    <w:rsid w:val="0024690C"/>
    <w:rsid w:val="00252AA5"/>
    <w:rsid w:val="00252DAC"/>
    <w:rsid w:val="002579D3"/>
    <w:rsid w:val="0026445C"/>
    <w:rsid w:val="00267780"/>
    <w:rsid w:val="00283E03"/>
    <w:rsid w:val="002865F0"/>
    <w:rsid w:val="0029511A"/>
    <w:rsid w:val="002B41CA"/>
    <w:rsid w:val="002B4A86"/>
    <w:rsid w:val="002C0AD0"/>
    <w:rsid w:val="0030788D"/>
    <w:rsid w:val="003105B1"/>
    <w:rsid w:val="0035629D"/>
    <w:rsid w:val="00391F99"/>
    <w:rsid w:val="003F3088"/>
    <w:rsid w:val="00493110"/>
    <w:rsid w:val="00493592"/>
    <w:rsid w:val="004A778C"/>
    <w:rsid w:val="004B72D5"/>
    <w:rsid w:val="0053001E"/>
    <w:rsid w:val="0055284B"/>
    <w:rsid w:val="005E78A8"/>
    <w:rsid w:val="00612B90"/>
    <w:rsid w:val="00630D7B"/>
    <w:rsid w:val="00675065"/>
    <w:rsid w:val="006E1524"/>
    <w:rsid w:val="007000C3"/>
    <w:rsid w:val="00701537"/>
    <w:rsid w:val="00742F10"/>
    <w:rsid w:val="00745573"/>
    <w:rsid w:val="007455E0"/>
    <w:rsid w:val="007A74D4"/>
    <w:rsid w:val="007E69AA"/>
    <w:rsid w:val="00844203"/>
    <w:rsid w:val="00882AC2"/>
    <w:rsid w:val="008C03C9"/>
    <w:rsid w:val="00927D38"/>
    <w:rsid w:val="0093737C"/>
    <w:rsid w:val="00951C76"/>
    <w:rsid w:val="0099690E"/>
    <w:rsid w:val="009F1100"/>
    <w:rsid w:val="00A3057C"/>
    <w:rsid w:val="00A90F14"/>
    <w:rsid w:val="00A9743E"/>
    <w:rsid w:val="00AC59BE"/>
    <w:rsid w:val="00AF2886"/>
    <w:rsid w:val="00B027FE"/>
    <w:rsid w:val="00B76D1E"/>
    <w:rsid w:val="00B83E9E"/>
    <w:rsid w:val="00B87570"/>
    <w:rsid w:val="00BA3380"/>
    <w:rsid w:val="00BA3E69"/>
    <w:rsid w:val="00C00D5D"/>
    <w:rsid w:val="00C07B49"/>
    <w:rsid w:val="00C12E66"/>
    <w:rsid w:val="00C23D57"/>
    <w:rsid w:val="00C26082"/>
    <w:rsid w:val="00C80C7E"/>
    <w:rsid w:val="00C909A2"/>
    <w:rsid w:val="00CB0C1F"/>
    <w:rsid w:val="00D13066"/>
    <w:rsid w:val="00D6532F"/>
    <w:rsid w:val="00DB4C37"/>
    <w:rsid w:val="00DC4DDD"/>
    <w:rsid w:val="00DD608C"/>
    <w:rsid w:val="00E55EC7"/>
    <w:rsid w:val="00E63393"/>
    <w:rsid w:val="00EA14AE"/>
    <w:rsid w:val="00EA23D1"/>
    <w:rsid w:val="00EE41F6"/>
    <w:rsid w:val="00EF013D"/>
    <w:rsid w:val="00F338FD"/>
    <w:rsid w:val="00F35BE4"/>
    <w:rsid w:val="00F4397E"/>
    <w:rsid w:val="00F533DA"/>
    <w:rsid w:val="00F80534"/>
    <w:rsid w:val="00F96D97"/>
    <w:rsid w:val="00FF2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11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32F"/>
    <w:rPr>
      <w:color w:val="0000FF"/>
      <w:u w:val="single"/>
    </w:rPr>
  </w:style>
  <w:style w:type="paragraph" w:styleId="Header">
    <w:name w:val="header"/>
    <w:basedOn w:val="Normal"/>
    <w:link w:val="HeaderChar"/>
    <w:uiPriority w:val="99"/>
    <w:unhideWhenUsed/>
    <w:rsid w:val="00DB4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C37"/>
  </w:style>
  <w:style w:type="paragraph" w:styleId="Footer">
    <w:name w:val="footer"/>
    <w:basedOn w:val="Normal"/>
    <w:link w:val="FooterChar"/>
    <w:uiPriority w:val="99"/>
    <w:unhideWhenUsed/>
    <w:rsid w:val="00DB4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C37"/>
  </w:style>
  <w:style w:type="paragraph" w:customStyle="1" w:styleId="Default">
    <w:name w:val="Default"/>
    <w:rsid w:val="00283E03"/>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uiPriority w:val="99"/>
    <w:unhideWhenUsed/>
    <w:rsid w:val="003F3088"/>
    <w:pPr>
      <w:spacing w:line="253" w:lineRule="atLeast"/>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3F3088"/>
    <w:rPr>
      <w:rFonts w:ascii="Times New Roman" w:eastAsia="Times New Roman" w:hAnsi="Times New Roman"/>
      <w:sz w:val="24"/>
      <w:szCs w:val="24"/>
    </w:rPr>
  </w:style>
  <w:style w:type="paragraph" w:styleId="BodyTextIndent">
    <w:name w:val="Body Text Indent"/>
    <w:basedOn w:val="Normal"/>
    <w:link w:val="BodyTextIndentChar"/>
    <w:uiPriority w:val="99"/>
    <w:unhideWhenUsed/>
    <w:rsid w:val="003F3088"/>
    <w:pPr>
      <w:spacing w:after="0" w:line="480" w:lineRule="auto"/>
      <w:ind w:left="720" w:hanging="720"/>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3F3088"/>
    <w:rPr>
      <w:rFonts w:ascii="Times New Roman" w:hAnsi="Times New Roman"/>
      <w:sz w:val="24"/>
      <w:szCs w:val="24"/>
    </w:rPr>
  </w:style>
  <w:style w:type="paragraph" w:styleId="NormalWeb">
    <w:name w:val="Normal (Web)"/>
    <w:basedOn w:val="Normal"/>
    <w:uiPriority w:val="99"/>
    <w:semiHidden/>
    <w:unhideWhenUsed/>
    <w:rsid w:val="003F308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742F10"/>
  </w:style>
  <w:style w:type="character" w:styleId="Emphasis">
    <w:name w:val="Emphasis"/>
    <w:basedOn w:val="DefaultParagraphFont"/>
    <w:uiPriority w:val="20"/>
    <w:qFormat/>
    <w:rsid w:val="00742F1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11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32F"/>
    <w:rPr>
      <w:color w:val="0000FF"/>
      <w:u w:val="single"/>
    </w:rPr>
  </w:style>
  <w:style w:type="paragraph" w:styleId="Header">
    <w:name w:val="header"/>
    <w:basedOn w:val="Normal"/>
    <w:link w:val="HeaderChar"/>
    <w:uiPriority w:val="99"/>
    <w:unhideWhenUsed/>
    <w:rsid w:val="00DB4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C37"/>
  </w:style>
  <w:style w:type="paragraph" w:styleId="Footer">
    <w:name w:val="footer"/>
    <w:basedOn w:val="Normal"/>
    <w:link w:val="FooterChar"/>
    <w:uiPriority w:val="99"/>
    <w:unhideWhenUsed/>
    <w:rsid w:val="00DB4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C37"/>
  </w:style>
  <w:style w:type="paragraph" w:customStyle="1" w:styleId="Default">
    <w:name w:val="Default"/>
    <w:rsid w:val="00283E03"/>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uiPriority w:val="99"/>
    <w:unhideWhenUsed/>
    <w:rsid w:val="003F3088"/>
    <w:pPr>
      <w:spacing w:line="253" w:lineRule="atLeast"/>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3F3088"/>
    <w:rPr>
      <w:rFonts w:ascii="Times New Roman" w:eastAsia="Times New Roman" w:hAnsi="Times New Roman"/>
      <w:sz w:val="24"/>
      <w:szCs w:val="24"/>
    </w:rPr>
  </w:style>
  <w:style w:type="paragraph" w:styleId="BodyTextIndent">
    <w:name w:val="Body Text Indent"/>
    <w:basedOn w:val="Normal"/>
    <w:link w:val="BodyTextIndentChar"/>
    <w:uiPriority w:val="99"/>
    <w:unhideWhenUsed/>
    <w:rsid w:val="003F3088"/>
    <w:pPr>
      <w:spacing w:after="0" w:line="480" w:lineRule="auto"/>
      <w:ind w:left="720" w:hanging="720"/>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3F3088"/>
    <w:rPr>
      <w:rFonts w:ascii="Times New Roman" w:hAnsi="Times New Roman"/>
      <w:sz w:val="24"/>
      <w:szCs w:val="24"/>
    </w:rPr>
  </w:style>
  <w:style w:type="paragraph" w:styleId="NormalWeb">
    <w:name w:val="Normal (Web)"/>
    <w:basedOn w:val="Normal"/>
    <w:uiPriority w:val="99"/>
    <w:semiHidden/>
    <w:unhideWhenUsed/>
    <w:rsid w:val="003F308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742F10"/>
  </w:style>
  <w:style w:type="character" w:styleId="Emphasis">
    <w:name w:val="Emphasis"/>
    <w:basedOn w:val="DefaultParagraphFont"/>
    <w:uiPriority w:val="20"/>
    <w:qFormat/>
    <w:rsid w:val="00742F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03144">
      <w:bodyDiv w:val="1"/>
      <w:marLeft w:val="0"/>
      <w:marRight w:val="0"/>
      <w:marTop w:val="0"/>
      <w:marBottom w:val="0"/>
      <w:divBdr>
        <w:top w:val="none" w:sz="0" w:space="0" w:color="auto"/>
        <w:left w:val="none" w:sz="0" w:space="0" w:color="auto"/>
        <w:bottom w:val="none" w:sz="0" w:space="0" w:color="auto"/>
        <w:right w:val="none" w:sz="0" w:space="0" w:color="auto"/>
      </w:divBdr>
    </w:div>
    <w:div w:id="600066153">
      <w:bodyDiv w:val="1"/>
      <w:marLeft w:val="0"/>
      <w:marRight w:val="0"/>
      <w:marTop w:val="0"/>
      <w:marBottom w:val="0"/>
      <w:divBdr>
        <w:top w:val="none" w:sz="0" w:space="0" w:color="auto"/>
        <w:left w:val="none" w:sz="0" w:space="0" w:color="auto"/>
        <w:bottom w:val="none" w:sz="0" w:space="0" w:color="auto"/>
        <w:right w:val="none" w:sz="0" w:space="0" w:color="auto"/>
      </w:divBdr>
    </w:div>
    <w:div w:id="884637263">
      <w:bodyDiv w:val="1"/>
      <w:marLeft w:val="0"/>
      <w:marRight w:val="0"/>
      <w:marTop w:val="0"/>
      <w:marBottom w:val="0"/>
      <w:divBdr>
        <w:top w:val="none" w:sz="0" w:space="0" w:color="auto"/>
        <w:left w:val="none" w:sz="0" w:space="0" w:color="auto"/>
        <w:bottom w:val="none" w:sz="0" w:space="0" w:color="auto"/>
        <w:right w:val="none" w:sz="0" w:space="0" w:color="auto"/>
      </w:divBdr>
    </w:div>
    <w:div w:id="17272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pecialeducationadvisor.com/forest-grove-school-district-ta-200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K:\My%20DocumentsK\APA-template-template-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APA-template-template-7</Template>
  <TotalTime>31</TotalTime>
  <Pages>6</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Aurora University</Company>
  <LinksUpToDate>false</LinksUpToDate>
  <CharactersWithSpaces>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nmactag</dc:creator>
  <cp:lastModifiedBy>Martini, Kim</cp:lastModifiedBy>
  <cp:revision>3</cp:revision>
  <cp:lastPrinted>2010-09-15T17:54:00Z</cp:lastPrinted>
  <dcterms:created xsi:type="dcterms:W3CDTF">2014-06-04T13:58:00Z</dcterms:created>
  <dcterms:modified xsi:type="dcterms:W3CDTF">2014-06-04T14:34:00Z</dcterms:modified>
</cp:coreProperties>
</file>